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6286E" w14:textId="77777777" w:rsidR="00E33C47" w:rsidRDefault="00E33C47" w:rsidP="00C96296">
      <w:pPr>
        <w:pStyle w:val="Heading1"/>
        <w:rPr>
          <w:sz w:val="32"/>
          <w:szCs w:val="32"/>
        </w:rPr>
      </w:pPr>
    </w:p>
    <w:p w14:paraId="28A31B6D" w14:textId="392ADB27" w:rsidR="00925298" w:rsidRPr="00413D80" w:rsidRDefault="00C90CB6" w:rsidP="00C96296">
      <w:pPr>
        <w:pStyle w:val="Heading1"/>
      </w:pPr>
      <w:r w:rsidRPr="00413D80">
        <w:rPr>
          <w:sz w:val="32"/>
          <w:szCs w:val="32"/>
        </w:rPr>
        <w:t>REPORT SUMMARY</w:t>
      </w:r>
      <w:r w:rsidRPr="00413D80">
        <w:br/>
      </w:r>
      <w:r w:rsidR="00925298" w:rsidRPr="00413D80">
        <w:t xml:space="preserve">Humanitarian health research: Operational challenges, impacts and mitigation strategies </w:t>
      </w:r>
    </w:p>
    <w:p w14:paraId="76C96A49" w14:textId="7DEE69D7" w:rsidR="003450A0" w:rsidRPr="00413D80" w:rsidRDefault="003450A0" w:rsidP="00C96296">
      <w:pPr>
        <w:pStyle w:val="Heading2"/>
      </w:pPr>
      <w:r w:rsidRPr="00413D80">
        <w:t>BACKGROUND: ABOUT TH</w:t>
      </w:r>
      <w:r w:rsidR="00921ED6" w:rsidRPr="00413D80">
        <w:t>IS</w:t>
      </w:r>
      <w:r w:rsidRPr="00413D80">
        <w:t xml:space="preserve"> REPORT</w:t>
      </w:r>
    </w:p>
    <w:p w14:paraId="42F7B123" w14:textId="7FCAB022" w:rsidR="00363957" w:rsidRPr="00413D80" w:rsidRDefault="00363957" w:rsidP="00C96296">
      <w:pPr>
        <w:rPr>
          <w:rFonts w:ascii="TT Rounds Condensed" w:hAnsi="TT Rounds Condensed" w:cstheme="minorHAnsi"/>
        </w:rPr>
      </w:pPr>
      <w:r w:rsidRPr="00413D80">
        <w:rPr>
          <w:rFonts w:ascii="TT Rounds Condensed" w:hAnsi="TT Rounds Condensed" w:cstheme="minorHAnsi"/>
        </w:rPr>
        <w:t xml:space="preserve">Humanitarian health research funding opportunities have increased in recent years, </w:t>
      </w:r>
      <w:r w:rsidR="004343A3" w:rsidRPr="00413D80">
        <w:rPr>
          <w:rFonts w:ascii="TT Rounds Condensed" w:hAnsi="TT Rounds Condensed" w:cstheme="minorHAnsi"/>
        </w:rPr>
        <w:t>and with this</w:t>
      </w:r>
      <w:r w:rsidR="00BE23D8">
        <w:rPr>
          <w:rFonts w:ascii="TT Rounds Condensed" w:hAnsi="TT Rounds Condensed" w:cstheme="minorHAnsi"/>
        </w:rPr>
        <w:t xml:space="preserve"> </w:t>
      </w:r>
      <w:r w:rsidRPr="00413D80">
        <w:rPr>
          <w:rFonts w:ascii="TT Rounds Condensed" w:hAnsi="TT Rounds Condensed" w:cstheme="minorHAnsi"/>
        </w:rPr>
        <w:t xml:space="preserve">a general consensus that implementing health research studies in humanitarian contexts can be operationally complex.  </w:t>
      </w:r>
      <w:r w:rsidR="00B91BF9" w:rsidRPr="00413D80">
        <w:rPr>
          <w:rFonts w:ascii="TT Rounds Condensed" w:hAnsi="TT Rounds Condensed" w:cstheme="minorHAnsi"/>
        </w:rPr>
        <w:t>Generating and sharing l</w:t>
      </w:r>
      <w:r w:rsidRPr="00413D80">
        <w:rPr>
          <w:rFonts w:ascii="TT Rounds Condensed" w:hAnsi="TT Rounds Condensed" w:cstheme="minorHAnsi"/>
        </w:rPr>
        <w:t xml:space="preserve">earning from the growing experience of </w:t>
      </w:r>
      <w:r w:rsidR="00F41D0C" w:rsidRPr="00413D80">
        <w:rPr>
          <w:rFonts w:ascii="TT Rounds Condensed" w:hAnsi="TT Rounds Condensed" w:cstheme="minorHAnsi"/>
        </w:rPr>
        <w:t xml:space="preserve">our R2HC funded research </w:t>
      </w:r>
      <w:r w:rsidRPr="00413D80">
        <w:rPr>
          <w:rFonts w:ascii="TT Rounds Condensed" w:hAnsi="TT Rounds Condensed" w:cstheme="minorHAnsi"/>
        </w:rPr>
        <w:t>teams carrying out humanitarian health research can help to maximi</w:t>
      </w:r>
      <w:r w:rsidR="00F41D0C" w:rsidRPr="00413D80">
        <w:rPr>
          <w:rFonts w:ascii="TT Rounds Condensed" w:hAnsi="TT Rounds Condensed" w:cstheme="minorHAnsi"/>
        </w:rPr>
        <w:t>s</w:t>
      </w:r>
      <w:r w:rsidRPr="00413D80">
        <w:rPr>
          <w:rFonts w:ascii="TT Rounds Condensed" w:hAnsi="TT Rounds Condensed" w:cstheme="minorHAnsi"/>
        </w:rPr>
        <w:t>e the potential and impact of future studies in similar contexts</w:t>
      </w:r>
      <w:r w:rsidR="00F41D0C" w:rsidRPr="00413D80">
        <w:rPr>
          <w:rFonts w:ascii="TT Rounds Condensed" w:hAnsi="TT Rounds Condensed" w:cstheme="minorHAnsi"/>
        </w:rPr>
        <w:t>.</w:t>
      </w:r>
      <w:r w:rsidRPr="00413D80">
        <w:rPr>
          <w:rFonts w:ascii="TT Rounds Condensed" w:hAnsi="TT Rounds Condensed" w:cstheme="minorHAnsi"/>
        </w:rPr>
        <w:t xml:space="preserve"> </w:t>
      </w:r>
    </w:p>
    <w:p w14:paraId="33537477" w14:textId="785C5495" w:rsidR="00363957" w:rsidRPr="00413D80" w:rsidRDefault="00363957" w:rsidP="00C96296">
      <w:pPr>
        <w:rPr>
          <w:rFonts w:ascii="TT Rounds Condensed" w:hAnsi="TT Rounds Condensed" w:cstheme="minorHAnsi"/>
        </w:rPr>
      </w:pPr>
      <w:r w:rsidRPr="00413D80">
        <w:rPr>
          <w:rFonts w:ascii="TT Rounds Condensed" w:hAnsi="TT Rounds Condensed" w:cstheme="minorHAnsi"/>
        </w:rPr>
        <w:t xml:space="preserve">Our previous report, published in 2017, aimed to qualitatively illustrate the breadth of operational challenges faced by R2HC </w:t>
      </w:r>
      <w:r w:rsidR="00BE23D8">
        <w:rPr>
          <w:rFonts w:ascii="TT Rounds Condensed" w:hAnsi="TT Rounds Condensed" w:cstheme="minorHAnsi"/>
        </w:rPr>
        <w:t>grantees</w:t>
      </w:r>
      <w:r w:rsidRPr="00413D80">
        <w:rPr>
          <w:rFonts w:ascii="TT Rounds Condensed" w:hAnsi="TT Rounds Condensed" w:cstheme="minorHAnsi"/>
        </w:rPr>
        <w:t>.</w:t>
      </w:r>
      <w:r w:rsidRPr="00413D80">
        <w:rPr>
          <w:rStyle w:val="FootnoteReference"/>
          <w:rFonts w:ascii="TT Rounds Condensed" w:hAnsi="TT Rounds Condensed" w:cstheme="minorHAnsi"/>
        </w:rPr>
        <w:footnoteReference w:id="1"/>
      </w:r>
      <w:r w:rsidRPr="00413D80">
        <w:rPr>
          <w:rFonts w:ascii="TT Rounds Condensed" w:hAnsi="TT Rounds Condensed" w:cstheme="minorHAnsi"/>
        </w:rPr>
        <w:t xml:space="preserve">  However, to our knowledge, there are currently no published reports that describe these challenges, nor their impacts or solutions, quantitatively.  Certainly, none that do so for a large and diverse group of research studies covering a wide range of humanitarian health topics.  </w:t>
      </w:r>
    </w:p>
    <w:p w14:paraId="69144429" w14:textId="0925D317" w:rsidR="007D5143" w:rsidRPr="00931260" w:rsidRDefault="004F46C5" w:rsidP="00C96296">
      <w:pPr>
        <w:rPr>
          <w:rFonts w:ascii="TT Rounds Condensed" w:hAnsi="TT Rounds Condensed" w:cstheme="minorHAnsi"/>
        </w:rPr>
      </w:pPr>
      <w:r w:rsidRPr="00931260">
        <w:rPr>
          <w:rFonts w:ascii="TT Rounds Condensed" w:hAnsi="TT Rounds Condensed" w:cstheme="minorHAnsi"/>
        </w:rPr>
        <w:t xml:space="preserve">Our portfolio of studies provides a unique opportunity to understand the breadth of these operational challenges and how they are addressed in diverse humanitarian contexts. </w:t>
      </w:r>
      <w:r w:rsidR="00A81262" w:rsidRPr="00931260">
        <w:rPr>
          <w:rFonts w:ascii="TT Rounds Condensed" w:hAnsi="TT Rounds Condensed" w:cstheme="minorHAnsi"/>
        </w:rPr>
        <w:t>W</w:t>
      </w:r>
      <w:r w:rsidR="00363957" w:rsidRPr="00931260">
        <w:rPr>
          <w:rFonts w:ascii="TT Rounds Condensed" w:hAnsi="TT Rounds Condensed" w:cstheme="minorHAnsi"/>
        </w:rPr>
        <w:t xml:space="preserve">e reviewed study progress reports submitted to </w:t>
      </w:r>
      <w:r w:rsidR="00A81262" w:rsidRPr="00931260">
        <w:rPr>
          <w:rFonts w:ascii="TT Rounds Condensed" w:hAnsi="TT Rounds Condensed" w:cstheme="minorHAnsi"/>
        </w:rPr>
        <w:t xml:space="preserve">the </w:t>
      </w:r>
      <w:r w:rsidR="00363957" w:rsidRPr="00931260">
        <w:rPr>
          <w:rFonts w:ascii="TT Rounds Condensed" w:hAnsi="TT Rounds Condensed" w:cstheme="minorHAnsi"/>
        </w:rPr>
        <w:t xml:space="preserve">R2HC </w:t>
      </w:r>
      <w:r w:rsidR="00A81262" w:rsidRPr="00931260">
        <w:rPr>
          <w:rFonts w:ascii="TT Rounds Condensed" w:hAnsi="TT Rounds Condensed" w:cstheme="minorHAnsi"/>
        </w:rPr>
        <w:t xml:space="preserve"> </w:t>
      </w:r>
      <w:r w:rsidR="00363957" w:rsidRPr="00931260">
        <w:rPr>
          <w:rFonts w:ascii="TT Rounds Condensed" w:hAnsi="TT Rounds Condensed" w:cstheme="minorHAnsi"/>
        </w:rPr>
        <w:t>between 2014 and 2018</w:t>
      </w:r>
      <w:r w:rsidR="0090140D" w:rsidRPr="00931260">
        <w:rPr>
          <w:rFonts w:ascii="TT Rounds Condensed" w:hAnsi="TT Rounds Condensed" w:cstheme="minorHAnsi"/>
        </w:rPr>
        <w:t xml:space="preserve">, then </w:t>
      </w:r>
      <w:r w:rsidR="00363957" w:rsidRPr="00931260">
        <w:rPr>
          <w:rFonts w:ascii="TT Rounds Condensed" w:hAnsi="TT Rounds Condensed" w:cstheme="minorHAnsi"/>
        </w:rPr>
        <w:t>conducted a thematic analysis where we identified</w:t>
      </w:r>
      <w:r w:rsidR="0090140D" w:rsidRPr="00931260">
        <w:rPr>
          <w:rFonts w:ascii="TT Rounds Condensed" w:hAnsi="TT Rounds Condensed" w:cstheme="minorHAnsi"/>
        </w:rPr>
        <w:t xml:space="preserve"> and </w:t>
      </w:r>
      <w:r w:rsidR="00363957" w:rsidRPr="00931260">
        <w:rPr>
          <w:rFonts w:ascii="TT Rounds Condensed" w:hAnsi="TT Rounds Condensed" w:cstheme="minorHAnsi"/>
        </w:rPr>
        <w:t>quantified key themes relating to challenges of conducting humanitarian health research, their impacts and solutions. We also extracted themes about enabling factors that positively influenced study implementation.</w:t>
      </w:r>
    </w:p>
    <w:p w14:paraId="0919EEB2" w14:textId="666458F5" w:rsidR="00855380" w:rsidRPr="00413D80" w:rsidRDefault="00855380" w:rsidP="00C96296">
      <w:pPr>
        <w:rPr>
          <w:rFonts w:ascii="TT Rounds Condensed" w:hAnsi="TT Rounds Condensed" w:cstheme="minorHAnsi"/>
        </w:rPr>
      </w:pPr>
      <w:r w:rsidRPr="00413D80">
        <w:rPr>
          <w:rStyle w:val="Emphasis"/>
          <w:rFonts w:ascii="TT Rounds Condensed" w:hAnsi="TT Rounds Condensed" w:cstheme="minorHAnsi"/>
          <w:i w:val="0"/>
          <w:iCs w:val="0"/>
        </w:rPr>
        <w:t xml:space="preserve">Our aim is to provide </w:t>
      </w:r>
      <w:r w:rsidR="00BE23D8">
        <w:rPr>
          <w:rStyle w:val="Emphasis"/>
          <w:rFonts w:ascii="TT Rounds Condensed" w:hAnsi="TT Rounds Condensed" w:cstheme="minorHAnsi"/>
          <w:i w:val="0"/>
          <w:iCs w:val="0"/>
        </w:rPr>
        <w:t xml:space="preserve">current and </w:t>
      </w:r>
      <w:r w:rsidRPr="00413D80">
        <w:rPr>
          <w:rStyle w:val="Emphasis"/>
          <w:rFonts w:ascii="TT Rounds Condensed" w:hAnsi="TT Rounds Condensed" w:cstheme="minorHAnsi"/>
          <w:i w:val="0"/>
          <w:iCs w:val="0"/>
        </w:rPr>
        <w:t xml:space="preserve">future study teams an understanding of common potential risks when planning </w:t>
      </w:r>
      <w:r w:rsidR="00BE23D8">
        <w:rPr>
          <w:rStyle w:val="Emphasis"/>
          <w:rFonts w:ascii="TT Rounds Condensed" w:hAnsi="TT Rounds Condensed" w:cstheme="minorHAnsi"/>
          <w:i w:val="0"/>
          <w:iCs w:val="0"/>
        </w:rPr>
        <w:t xml:space="preserve">and implementing </w:t>
      </w:r>
      <w:r w:rsidRPr="00413D80">
        <w:rPr>
          <w:rStyle w:val="Emphasis"/>
          <w:rFonts w:ascii="TT Rounds Condensed" w:hAnsi="TT Rounds Condensed" w:cstheme="minorHAnsi"/>
          <w:i w:val="0"/>
          <w:iCs w:val="0"/>
        </w:rPr>
        <w:t xml:space="preserve">research and to inform how teams and study activities </w:t>
      </w:r>
      <w:r w:rsidR="00BE23D8">
        <w:rPr>
          <w:rStyle w:val="Emphasis"/>
          <w:rFonts w:ascii="TT Rounds Condensed" w:hAnsi="TT Rounds Condensed" w:cstheme="minorHAnsi"/>
          <w:i w:val="0"/>
          <w:iCs w:val="0"/>
        </w:rPr>
        <w:t>c</w:t>
      </w:r>
      <w:r w:rsidRPr="00413D80">
        <w:rPr>
          <w:rStyle w:val="Emphasis"/>
          <w:rFonts w:ascii="TT Rounds Condensed" w:hAnsi="TT Rounds Condensed" w:cstheme="minorHAnsi"/>
          <w:i w:val="0"/>
          <w:iCs w:val="0"/>
        </w:rPr>
        <w:t>ould be structured to address challenges as they arise.</w:t>
      </w:r>
      <w:r w:rsidRPr="00413D80">
        <w:rPr>
          <w:rStyle w:val="Emphasis"/>
          <w:rFonts w:ascii="TT Rounds Condensed" w:hAnsi="TT Rounds Condensed" w:cstheme="minorHAnsi"/>
        </w:rPr>
        <w:t xml:space="preserve">  </w:t>
      </w:r>
      <w:r w:rsidRPr="00413D80">
        <w:rPr>
          <w:rStyle w:val="Emphasis"/>
          <w:rFonts w:ascii="TT Rounds Condensed" w:hAnsi="TT Rounds Condensed" w:cstheme="minorHAnsi"/>
          <w:i w:val="0"/>
          <w:iCs w:val="0"/>
        </w:rPr>
        <w:t>Therefore</w:t>
      </w:r>
      <w:r w:rsidRPr="00413D80">
        <w:rPr>
          <w:rStyle w:val="Emphasis"/>
          <w:rFonts w:ascii="TT Rounds Condensed" w:hAnsi="TT Rounds Condensed" w:cstheme="minorHAnsi"/>
        </w:rPr>
        <w:t>, t</w:t>
      </w:r>
      <w:r w:rsidRPr="00413D80">
        <w:rPr>
          <w:rFonts w:ascii="TT Rounds Condensed" w:hAnsi="TT Rounds Condensed" w:cstheme="minorHAnsi"/>
        </w:rPr>
        <w:t>his  report aims to contribute towards filling this gap in three ways:</w:t>
      </w:r>
    </w:p>
    <w:p w14:paraId="6270C4CE" w14:textId="77777777" w:rsidR="00855380" w:rsidRPr="00413D80" w:rsidRDefault="00855380" w:rsidP="00C96296">
      <w:pPr>
        <w:pStyle w:val="ListParagraph"/>
        <w:numPr>
          <w:ilvl w:val="0"/>
          <w:numId w:val="6"/>
        </w:numPr>
        <w:spacing w:line="276" w:lineRule="auto"/>
        <w:rPr>
          <w:rFonts w:ascii="TT Rounds Condensed" w:hAnsi="TT Rounds Condensed" w:cstheme="minorHAnsi"/>
        </w:rPr>
      </w:pPr>
      <w:r w:rsidRPr="00413D80">
        <w:rPr>
          <w:rFonts w:ascii="TT Rounds Condensed" w:hAnsi="TT Rounds Condensed" w:cstheme="minorHAnsi"/>
        </w:rPr>
        <w:t>To quantify common operational challenges described by our grantees; this includes quantifying both the impact of these challenges and how they were addressed</w:t>
      </w:r>
    </w:p>
    <w:p w14:paraId="6D81FD51" w14:textId="2A40C940" w:rsidR="00413D80" w:rsidRPr="00413D80" w:rsidRDefault="00855380" w:rsidP="00C96296">
      <w:pPr>
        <w:pStyle w:val="ListParagraph"/>
        <w:numPr>
          <w:ilvl w:val="0"/>
          <w:numId w:val="6"/>
        </w:numPr>
        <w:spacing w:line="276" w:lineRule="auto"/>
        <w:rPr>
          <w:rFonts w:ascii="TT Rounds Condensed" w:hAnsi="TT Rounds Condensed" w:cstheme="minorHAnsi"/>
        </w:rPr>
      </w:pPr>
      <w:r w:rsidRPr="00413D80">
        <w:rPr>
          <w:rFonts w:ascii="TT Rounds Condensed" w:hAnsi="TT Rounds Condensed" w:cstheme="minorHAnsi"/>
        </w:rPr>
        <w:t>To describe which factors positively impact the ability of research teams to address risks and challenges as they arise</w:t>
      </w:r>
      <w:r w:rsidR="00413D80" w:rsidRPr="00413D80">
        <w:rPr>
          <w:rFonts w:ascii="TT Rounds Condensed" w:hAnsi="TT Rounds Condensed" w:cstheme="minorHAnsi"/>
        </w:rPr>
        <w:t>,</w:t>
      </w:r>
    </w:p>
    <w:p w14:paraId="7A254A0A" w14:textId="6C74E437" w:rsidR="00855380" w:rsidRDefault="00413D80" w:rsidP="00C96296">
      <w:pPr>
        <w:pStyle w:val="ListParagraph"/>
        <w:numPr>
          <w:ilvl w:val="0"/>
          <w:numId w:val="6"/>
        </w:numPr>
        <w:spacing w:line="276" w:lineRule="auto"/>
        <w:rPr>
          <w:rFonts w:ascii="TT Rounds Condensed" w:hAnsi="TT Rounds Condensed" w:cstheme="minorHAnsi"/>
        </w:rPr>
      </w:pPr>
      <w:r w:rsidRPr="00413D80">
        <w:rPr>
          <w:rFonts w:ascii="TT Rounds Condensed" w:hAnsi="TT Rounds Condensed" w:cstheme="minorHAnsi"/>
        </w:rPr>
        <w:t>T</w:t>
      </w:r>
      <w:r w:rsidR="00855380" w:rsidRPr="00413D80">
        <w:rPr>
          <w:rFonts w:ascii="TT Rounds Condensed" w:hAnsi="TT Rounds Condensed" w:cstheme="minorHAnsi"/>
        </w:rPr>
        <w:t xml:space="preserve">o synthesise knowledge of both positive and negative operational factors into recommendations for teams designing future studies in similar contexts. </w:t>
      </w:r>
    </w:p>
    <w:p w14:paraId="4B514DB9" w14:textId="77777777" w:rsidR="001B1162" w:rsidRDefault="001B1162" w:rsidP="00694321">
      <w:pPr>
        <w:rPr>
          <w:rFonts w:ascii="TT Rounds Condensed" w:hAnsi="TT Rounds Condensed" w:cstheme="minorHAnsi"/>
          <w:i/>
          <w:iCs/>
        </w:rPr>
      </w:pPr>
    </w:p>
    <w:p w14:paraId="45F4FCD7" w14:textId="488C5979" w:rsidR="00694321" w:rsidRDefault="00C96296" w:rsidP="00694321">
      <w:pPr>
        <w:rPr>
          <w:rFonts w:ascii="TT Rounds Condensed" w:hAnsi="TT Rounds Condensed" w:cstheme="minorHAnsi"/>
          <w:i/>
          <w:iCs/>
        </w:rPr>
      </w:pPr>
      <w:bookmarkStart w:id="0" w:name="_GoBack"/>
      <w:bookmarkEnd w:id="0"/>
      <w:r>
        <w:rPr>
          <w:rFonts w:ascii="TT Rounds Condensed" w:hAnsi="TT Rounds Condensed" w:cstheme="minorHAnsi"/>
          <w:i/>
          <w:iCs/>
        </w:rPr>
        <w:t xml:space="preserve">This </w:t>
      </w:r>
      <w:r w:rsidR="00984313">
        <w:rPr>
          <w:rFonts w:ascii="TT Rounds Condensed" w:hAnsi="TT Rounds Condensed" w:cstheme="minorHAnsi"/>
          <w:i/>
          <w:iCs/>
        </w:rPr>
        <w:t>R</w:t>
      </w:r>
      <w:r w:rsidR="00694321">
        <w:rPr>
          <w:rFonts w:ascii="TT Rounds Condensed" w:hAnsi="TT Rounds Condensed" w:cstheme="minorHAnsi"/>
          <w:i/>
          <w:iCs/>
        </w:rPr>
        <w:t>eview</w:t>
      </w:r>
      <w:r>
        <w:rPr>
          <w:rFonts w:ascii="TT Rounds Condensed" w:hAnsi="TT Rounds Condensed" w:cstheme="minorHAnsi"/>
          <w:i/>
          <w:iCs/>
        </w:rPr>
        <w:t xml:space="preserve"> was commissioned </w:t>
      </w:r>
      <w:r w:rsidR="00364246">
        <w:rPr>
          <w:rFonts w:ascii="TT Rounds Condensed" w:hAnsi="TT Rounds Condensed" w:cstheme="minorHAnsi"/>
          <w:i/>
          <w:iCs/>
        </w:rPr>
        <w:t xml:space="preserve">by </w:t>
      </w:r>
      <w:r>
        <w:rPr>
          <w:rFonts w:ascii="TT Rounds Condensed" w:hAnsi="TT Rounds Condensed" w:cstheme="minorHAnsi"/>
          <w:i/>
          <w:iCs/>
        </w:rPr>
        <w:t>Elrha</w:t>
      </w:r>
      <w:r w:rsidR="00364246">
        <w:rPr>
          <w:rFonts w:ascii="TT Rounds Condensed" w:hAnsi="TT Rounds Condensed" w:cstheme="minorHAnsi"/>
          <w:i/>
          <w:iCs/>
        </w:rPr>
        <w:t>’</w:t>
      </w:r>
      <w:r>
        <w:rPr>
          <w:rFonts w:ascii="TT Rounds Condensed" w:hAnsi="TT Rounds Condensed" w:cstheme="minorHAnsi"/>
          <w:i/>
          <w:iCs/>
        </w:rPr>
        <w:t>s R</w:t>
      </w:r>
      <w:r w:rsidR="00364246">
        <w:rPr>
          <w:rFonts w:ascii="TT Rounds Condensed" w:hAnsi="TT Rounds Condensed" w:cstheme="minorHAnsi"/>
          <w:i/>
          <w:iCs/>
        </w:rPr>
        <w:t>2</w:t>
      </w:r>
      <w:r>
        <w:rPr>
          <w:rFonts w:ascii="TT Rounds Condensed" w:hAnsi="TT Rounds Condensed" w:cstheme="minorHAnsi"/>
          <w:i/>
          <w:iCs/>
        </w:rPr>
        <w:t>HC Programme and</w:t>
      </w:r>
      <w:r w:rsidR="00364246">
        <w:rPr>
          <w:rFonts w:ascii="TT Rounds Condensed" w:hAnsi="TT Rounds Condensed" w:cstheme="minorHAnsi"/>
          <w:i/>
          <w:iCs/>
        </w:rPr>
        <w:t xml:space="preserve"> </w:t>
      </w:r>
      <w:r w:rsidR="00694321">
        <w:rPr>
          <w:rFonts w:ascii="TT Rounds Condensed" w:hAnsi="TT Rounds Condensed" w:cstheme="minorHAnsi"/>
          <w:i/>
          <w:iCs/>
        </w:rPr>
        <w:t>conducted</w:t>
      </w:r>
      <w:r w:rsidR="00364246">
        <w:rPr>
          <w:rFonts w:ascii="TT Rounds Condensed" w:hAnsi="TT Rounds Condensed" w:cstheme="minorHAnsi"/>
          <w:i/>
          <w:iCs/>
        </w:rPr>
        <w:t xml:space="preserve"> by Maysoon Dahab.</w:t>
      </w:r>
      <w:r w:rsidR="00694321" w:rsidRPr="00694321">
        <w:rPr>
          <w:rFonts w:ascii="TT Rounds Condensed" w:hAnsi="TT Rounds Condensed" w:cstheme="minorHAnsi"/>
          <w:i/>
          <w:iCs/>
        </w:rPr>
        <w:t xml:space="preserve"> </w:t>
      </w:r>
    </w:p>
    <w:p w14:paraId="4239EBDD" w14:textId="3330BA90" w:rsidR="00413D80" w:rsidRDefault="00694321" w:rsidP="00694321">
      <w:pPr>
        <w:rPr>
          <w:rFonts w:ascii="TT Rounds Condensed" w:hAnsi="TT Rounds Condensed" w:cstheme="minorHAnsi"/>
          <w:i/>
          <w:iCs/>
        </w:rPr>
      </w:pPr>
      <w:r w:rsidRPr="00694321">
        <w:rPr>
          <w:rFonts w:ascii="TT Rounds Condensed" w:hAnsi="TT Rounds Condensed" w:cstheme="minorHAnsi"/>
          <w:i/>
          <w:iCs/>
        </w:rPr>
        <w:t xml:space="preserve">Ethics for this study was provided by the King’s College London ethics board.  </w:t>
      </w:r>
      <w:bookmarkStart w:id="1" w:name="_Toc15297343"/>
    </w:p>
    <w:p w14:paraId="6F7200D3" w14:textId="77777777" w:rsidR="00694321" w:rsidRPr="00694321" w:rsidRDefault="00694321" w:rsidP="00694321">
      <w:pPr>
        <w:rPr>
          <w:rFonts w:ascii="TT Rounds Condensed" w:hAnsi="TT Rounds Condensed" w:cstheme="minorHAnsi"/>
          <w:i/>
          <w:iCs/>
        </w:rPr>
      </w:pPr>
    </w:p>
    <w:p w14:paraId="77A91BBD" w14:textId="0D88FA54" w:rsidR="00363957" w:rsidRPr="00413D80" w:rsidRDefault="00663F7C" w:rsidP="00C96296">
      <w:pPr>
        <w:pStyle w:val="Heading2"/>
      </w:pPr>
      <w:r w:rsidRPr="00413D80">
        <w:lastRenderedPageBreak/>
        <w:t xml:space="preserve">KEY TAKEAWAYS FROM THE REPORT </w:t>
      </w:r>
      <w:bookmarkEnd w:id="1"/>
    </w:p>
    <w:p w14:paraId="1B8FD434" w14:textId="32B58B77" w:rsidR="00D62551" w:rsidRPr="00413D80" w:rsidRDefault="00D62551" w:rsidP="00C96296">
      <w:pPr>
        <w:pStyle w:val="ListParagraph"/>
        <w:numPr>
          <w:ilvl w:val="3"/>
          <w:numId w:val="1"/>
        </w:numPr>
        <w:spacing w:line="276" w:lineRule="auto"/>
        <w:ind w:left="709"/>
        <w:rPr>
          <w:rFonts w:ascii="TT Rounds Condensed" w:hAnsi="TT Rounds Condensed"/>
          <w:b/>
          <w:bCs/>
          <w:i/>
          <w:iCs/>
        </w:rPr>
      </w:pPr>
      <w:r w:rsidRPr="00413D80">
        <w:rPr>
          <w:rFonts w:ascii="TT Rounds Condensed" w:hAnsi="TT Rounds Condensed"/>
        </w:rPr>
        <w:t xml:space="preserve">There are a high number and broad range of operational challenges faced by </w:t>
      </w:r>
      <w:r w:rsidR="001415E9" w:rsidRPr="00413D80">
        <w:rPr>
          <w:rFonts w:ascii="TT Rounds Condensed" w:hAnsi="TT Rounds Condensed"/>
        </w:rPr>
        <w:t xml:space="preserve">our funded </w:t>
      </w:r>
      <w:r w:rsidRPr="00413D80">
        <w:rPr>
          <w:rFonts w:ascii="TT Rounds Condensed" w:hAnsi="TT Rounds Condensed"/>
        </w:rPr>
        <w:t xml:space="preserve">studies (111  reports from 31 studies identified 136 unique challenges). These challenges can be grouped into four broad themes: </w:t>
      </w:r>
      <w:r w:rsidRPr="00413D80">
        <w:rPr>
          <w:rFonts w:ascii="TT Rounds Condensed" w:hAnsi="TT Rounds Condensed"/>
          <w:b/>
          <w:bCs/>
          <w:i/>
          <w:iCs/>
        </w:rPr>
        <w:t>study components, setting, partnerships, community/study population.</w:t>
      </w:r>
    </w:p>
    <w:p w14:paraId="54855FA7" w14:textId="77777777" w:rsidR="00D6323F" w:rsidRPr="00413D80" w:rsidRDefault="00D6323F" w:rsidP="00C96296">
      <w:pPr>
        <w:pStyle w:val="ListParagraph"/>
        <w:spacing w:line="276" w:lineRule="auto"/>
        <w:ind w:left="709"/>
        <w:rPr>
          <w:rFonts w:ascii="TT Rounds Condensed" w:hAnsi="TT Rounds Condensed"/>
          <w:b/>
          <w:bCs/>
          <w:i/>
          <w:iCs/>
        </w:rPr>
      </w:pPr>
    </w:p>
    <w:p w14:paraId="77CC9DA3" w14:textId="50C6F59B" w:rsidR="00D62551" w:rsidRPr="00413D80" w:rsidRDefault="00D62551" w:rsidP="00C96296">
      <w:pPr>
        <w:pStyle w:val="ListParagraph"/>
        <w:numPr>
          <w:ilvl w:val="0"/>
          <w:numId w:val="1"/>
        </w:numPr>
        <w:spacing w:line="276" w:lineRule="auto"/>
        <w:rPr>
          <w:rFonts w:ascii="TT Rounds Condensed" w:hAnsi="TT Rounds Condensed" w:cstheme="minorHAnsi"/>
        </w:rPr>
      </w:pPr>
      <w:r w:rsidRPr="00413D80">
        <w:rPr>
          <w:rFonts w:ascii="TT Rounds Condensed" w:hAnsi="TT Rounds Condensed" w:cstheme="minorHAnsi"/>
        </w:rPr>
        <w:t xml:space="preserve">For each challenge the mitigation strategies identified were relatively limited. Whilst some solutions are more commonly used to address key challenges than others, none of these was found to be a one size fits all solution for any of the challenges identified.  </w:t>
      </w:r>
    </w:p>
    <w:p w14:paraId="7BC92CBF" w14:textId="77777777" w:rsidR="00E245CF" w:rsidRPr="00413D80" w:rsidRDefault="00E245CF" w:rsidP="00C96296">
      <w:pPr>
        <w:pStyle w:val="ListParagraph"/>
        <w:spacing w:line="276" w:lineRule="auto"/>
        <w:rPr>
          <w:rFonts w:ascii="TT Rounds Condensed" w:hAnsi="TT Rounds Condensed" w:cstheme="minorHAnsi"/>
        </w:rPr>
      </w:pPr>
    </w:p>
    <w:p w14:paraId="5C858669" w14:textId="7A503E1F" w:rsidR="00271523" w:rsidRPr="00413D80" w:rsidRDefault="00D62551" w:rsidP="00C96296">
      <w:pPr>
        <w:pStyle w:val="ListParagraph"/>
        <w:numPr>
          <w:ilvl w:val="0"/>
          <w:numId w:val="1"/>
        </w:numPr>
        <w:spacing w:line="276" w:lineRule="auto"/>
        <w:rPr>
          <w:rFonts w:ascii="TT Rounds Condensed" w:hAnsi="TT Rounds Condensed" w:cstheme="minorHAnsi"/>
        </w:rPr>
      </w:pPr>
      <w:r w:rsidRPr="00413D80">
        <w:rPr>
          <w:rFonts w:ascii="TT Rounds Condensed" w:hAnsi="TT Rounds Condensed"/>
        </w:rPr>
        <w:t>Some f</w:t>
      </w:r>
      <w:r w:rsidRPr="00413D80">
        <w:rPr>
          <w:rFonts w:ascii="TT Rounds Condensed" w:hAnsi="TT Rounds Condensed" w:cstheme="minorHAnsi"/>
        </w:rPr>
        <w:t>actors are identified that positively influence a team’s ability to predict threats and/or address them successfully. These include fostering an equitable engagement between partners; developing a clear communication plan; ensuring clarity around roles and responsibilities within the study team</w:t>
      </w:r>
      <w:r w:rsidR="00271523" w:rsidRPr="00413D80">
        <w:rPr>
          <w:rFonts w:ascii="TT Rounds Condensed" w:hAnsi="TT Rounds Condensed" w:cstheme="minorHAnsi"/>
        </w:rPr>
        <w:t>.</w:t>
      </w:r>
      <w:r w:rsidR="00271523" w:rsidRPr="00413D80">
        <w:rPr>
          <w:rFonts w:ascii="TT Rounds Condensed" w:hAnsi="TT Rounds Condensed" w:cstheme="minorHAnsi"/>
        </w:rPr>
        <w:br/>
      </w:r>
    </w:p>
    <w:p w14:paraId="47E6DF08" w14:textId="79B4339C" w:rsidR="00D62551" w:rsidRPr="00413D80" w:rsidRDefault="00D62551" w:rsidP="00C96296">
      <w:pPr>
        <w:pStyle w:val="ListParagraph"/>
        <w:numPr>
          <w:ilvl w:val="0"/>
          <w:numId w:val="1"/>
        </w:numPr>
        <w:spacing w:line="276" w:lineRule="auto"/>
        <w:rPr>
          <w:rFonts w:ascii="TT Rounds Condensed" w:hAnsi="TT Rounds Condensed" w:cstheme="minorHAnsi"/>
        </w:rPr>
      </w:pPr>
      <w:r w:rsidRPr="00413D80">
        <w:rPr>
          <w:rFonts w:ascii="TT Rounds Condensed" w:hAnsi="TT Rounds Condensed" w:cstheme="minorHAnsi"/>
        </w:rPr>
        <w:t>Recommendation</w:t>
      </w:r>
      <w:r w:rsidR="00271523" w:rsidRPr="00413D80">
        <w:rPr>
          <w:rFonts w:ascii="TT Rounds Condensed" w:hAnsi="TT Rounds Condensed" w:cstheme="minorHAnsi"/>
        </w:rPr>
        <w:t xml:space="preserve">s </w:t>
      </w:r>
      <w:r w:rsidRPr="00413D80">
        <w:rPr>
          <w:rFonts w:ascii="TT Rounds Condensed" w:hAnsi="TT Rounds Condensed" w:cstheme="minorHAnsi"/>
        </w:rPr>
        <w:t>are made to help mitigate operational challenges. For the study planning stages these include: develop</w:t>
      </w:r>
      <w:r w:rsidR="00724FE1">
        <w:rPr>
          <w:rFonts w:ascii="TT Rounds Condensed" w:hAnsi="TT Rounds Condensed" w:cstheme="minorHAnsi"/>
        </w:rPr>
        <w:t>ing</w:t>
      </w:r>
      <w:r w:rsidRPr="00413D80">
        <w:rPr>
          <w:rFonts w:ascii="TT Rounds Condensed" w:hAnsi="TT Rounds Condensed" w:cstheme="minorHAnsi"/>
        </w:rPr>
        <w:t xml:space="preserve"> risk preparedness and communication plans; dedicat</w:t>
      </w:r>
      <w:r w:rsidR="00724FE1">
        <w:rPr>
          <w:rFonts w:ascii="TT Rounds Condensed" w:hAnsi="TT Rounds Condensed" w:cstheme="minorHAnsi"/>
        </w:rPr>
        <w:t>ing</w:t>
      </w:r>
      <w:r w:rsidRPr="00413D80">
        <w:rPr>
          <w:rFonts w:ascii="TT Rounds Condensed" w:hAnsi="TT Rounds Condensed" w:cstheme="minorHAnsi"/>
        </w:rPr>
        <w:t xml:space="preserve"> time for piloting and pre-testing study tools and procedures; develop</w:t>
      </w:r>
      <w:r w:rsidR="00724FE1">
        <w:rPr>
          <w:rFonts w:ascii="TT Rounds Condensed" w:hAnsi="TT Rounds Condensed" w:cstheme="minorHAnsi"/>
        </w:rPr>
        <w:t>ing</w:t>
      </w:r>
      <w:r w:rsidRPr="00413D80">
        <w:rPr>
          <w:rFonts w:ascii="TT Rounds Condensed" w:hAnsi="TT Rounds Condensed" w:cstheme="minorHAnsi"/>
        </w:rPr>
        <w:t xml:space="preserve"> plans for engagement with stakeholders and affected communities.</w:t>
      </w:r>
      <w:r w:rsidR="00271523" w:rsidRPr="00413D80">
        <w:rPr>
          <w:rFonts w:ascii="TT Rounds Condensed" w:hAnsi="TT Rounds Condensed" w:cstheme="minorHAnsi"/>
        </w:rPr>
        <w:br/>
      </w:r>
    </w:p>
    <w:p w14:paraId="7F07010E" w14:textId="3F9560F5" w:rsidR="00D62551" w:rsidRPr="00413D80" w:rsidRDefault="00D62551" w:rsidP="00C96296">
      <w:pPr>
        <w:pStyle w:val="ListParagraph"/>
        <w:numPr>
          <w:ilvl w:val="0"/>
          <w:numId w:val="1"/>
        </w:numPr>
        <w:spacing w:line="276" w:lineRule="auto"/>
        <w:rPr>
          <w:rFonts w:ascii="TT Rounds Condensed" w:hAnsi="TT Rounds Condensed" w:cstheme="minorHAnsi"/>
        </w:rPr>
      </w:pPr>
      <w:r w:rsidRPr="00413D80">
        <w:rPr>
          <w:rFonts w:ascii="TT Rounds Condensed" w:hAnsi="TT Rounds Condensed" w:cstheme="minorHAnsi"/>
        </w:rPr>
        <w:t>For the study implementation stages these include: regularly updat</w:t>
      </w:r>
      <w:r w:rsidR="00724FE1">
        <w:rPr>
          <w:rFonts w:ascii="TT Rounds Condensed" w:hAnsi="TT Rounds Condensed" w:cstheme="minorHAnsi"/>
        </w:rPr>
        <w:t>ing</w:t>
      </w:r>
      <w:r w:rsidRPr="00413D80">
        <w:rPr>
          <w:rFonts w:ascii="TT Rounds Condensed" w:hAnsi="TT Rounds Condensed" w:cstheme="minorHAnsi"/>
        </w:rPr>
        <w:t xml:space="preserve"> risk preparedness and communication plans; continu</w:t>
      </w:r>
      <w:r w:rsidR="00724FE1">
        <w:rPr>
          <w:rFonts w:ascii="TT Rounds Condensed" w:hAnsi="TT Rounds Condensed" w:cstheme="minorHAnsi"/>
        </w:rPr>
        <w:t>ing</w:t>
      </w:r>
      <w:r w:rsidRPr="00413D80">
        <w:rPr>
          <w:rFonts w:ascii="TT Rounds Condensed" w:hAnsi="TT Rounds Condensed" w:cstheme="minorHAnsi"/>
        </w:rPr>
        <w:t xml:space="preserve"> engagement with stakeholders and communities;  be</w:t>
      </w:r>
      <w:r w:rsidR="00724FE1">
        <w:rPr>
          <w:rFonts w:ascii="TT Rounds Condensed" w:hAnsi="TT Rounds Condensed" w:cstheme="minorHAnsi"/>
        </w:rPr>
        <w:t>ing</w:t>
      </w:r>
      <w:r w:rsidRPr="00413D80">
        <w:rPr>
          <w:rFonts w:ascii="TT Rounds Condensed" w:hAnsi="TT Rounds Condensed" w:cstheme="minorHAnsi"/>
        </w:rPr>
        <w:t xml:space="preserve"> transparent about the impact that required changes will have to the study on the original research objectives.</w:t>
      </w:r>
    </w:p>
    <w:p w14:paraId="5EEE95E1" w14:textId="60B56AB2" w:rsidR="00363957" w:rsidRPr="00413D80" w:rsidRDefault="00467D2C" w:rsidP="00C96296">
      <w:pPr>
        <w:pStyle w:val="Heading2"/>
      </w:pPr>
      <w:bookmarkStart w:id="2" w:name="_Toc15297344"/>
      <w:r w:rsidRPr="00413D80">
        <w:t xml:space="preserve">KEY </w:t>
      </w:r>
      <w:r w:rsidR="00363957" w:rsidRPr="00413D80">
        <w:t>Recommendations</w:t>
      </w:r>
      <w:bookmarkEnd w:id="2"/>
      <w:r w:rsidRPr="00413D80">
        <w:t xml:space="preserve"> </w:t>
      </w:r>
      <w:r w:rsidR="00910C41" w:rsidRPr="00413D80">
        <w:t>FOR RESEARCH</w:t>
      </w:r>
      <w:r w:rsidR="00724FE1">
        <w:t>ers</w:t>
      </w:r>
      <w:r w:rsidR="00910C41" w:rsidRPr="00413D80">
        <w:t xml:space="preserve"> </w:t>
      </w:r>
      <w:r w:rsidRPr="00413D80">
        <w:t xml:space="preserve">FROM THE REPORT </w:t>
      </w:r>
    </w:p>
    <w:p w14:paraId="01F8CCCE" w14:textId="77777777" w:rsidR="00363957" w:rsidRPr="005335EB" w:rsidRDefault="00363957" w:rsidP="00C96296">
      <w:pPr>
        <w:pStyle w:val="Heading2"/>
        <w:rPr>
          <w:b/>
          <w:bCs w:val="0"/>
          <w:sz w:val="20"/>
          <w:szCs w:val="22"/>
        </w:rPr>
      </w:pPr>
      <w:r w:rsidRPr="005335EB">
        <w:rPr>
          <w:b/>
          <w:bCs w:val="0"/>
          <w:sz w:val="20"/>
          <w:szCs w:val="22"/>
        </w:rPr>
        <w:t>Study planning stages</w:t>
      </w:r>
    </w:p>
    <w:p w14:paraId="40D5BC2C" w14:textId="77777777" w:rsidR="00363957" w:rsidRPr="00413D80" w:rsidRDefault="00363957" w:rsidP="00C96296">
      <w:pPr>
        <w:pStyle w:val="ListParagraph"/>
        <w:numPr>
          <w:ilvl w:val="0"/>
          <w:numId w:val="3"/>
        </w:numPr>
        <w:spacing w:line="276" w:lineRule="auto"/>
        <w:rPr>
          <w:rFonts w:ascii="TT Rounds Condensed" w:hAnsi="TT Rounds Condensed" w:cstheme="minorHAnsi"/>
        </w:rPr>
      </w:pPr>
      <w:r w:rsidRPr="00413D80">
        <w:rPr>
          <w:rFonts w:ascii="TT Rounds Condensed" w:hAnsi="TT Rounds Condensed" w:cstheme="minorHAnsi"/>
        </w:rPr>
        <w:t xml:space="preserve">Develop a risk preparedness plan that takes into account common challenges </w:t>
      </w:r>
    </w:p>
    <w:p w14:paraId="62A0CCCF" w14:textId="5F6131BC" w:rsidR="00363957" w:rsidRPr="00413D80" w:rsidRDefault="00363957" w:rsidP="00C96296">
      <w:pPr>
        <w:pStyle w:val="ListParagraph"/>
        <w:numPr>
          <w:ilvl w:val="0"/>
          <w:numId w:val="3"/>
        </w:numPr>
        <w:spacing w:line="276" w:lineRule="auto"/>
        <w:rPr>
          <w:rFonts w:ascii="TT Rounds Condensed" w:hAnsi="TT Rounds Condensed" w:cstheme="minorHAnsi"/>
        </w:rPr>
      </w:pPr>
      <w:r w:rsidRPr="00413D80">
        <w:rPr>
          <w:rFonts w:ascii="TT Rounds Condensed" w:hAnsi="TT Rounds Condensed" w:cstheme="minorHAnsi"/>
        </w:rPr>
        <w:t xml:space="preserve">Develop a clear communication plan that defines how partners working in different countries and sites would stay informed about study progress, identify problems and discuss solutions, all in real-time. This </w:t>
      </w:r>
      <w:r w:rsidR="00694321">
        <w:rPr>
          <w:rFonts w:ascii="TT Rounds Condensed" w:hAnsi="TT Rounds Condensed" w:cstheme="minorHAnsi"/>
        </w:rPr>
        <w:t>should</w:t>
      </w:r>
      <w:r w:rsidRPr="00413D80">
        <w:rPr>
          <w:rFonts w:ascii="TT Rounds Condensed" w:hAnsi="TT Rounds Condensed" w:cstheme="minorHAnsi"/>
        </w:rPr>
        <w:t xml:space="preserve"> include:</w:t>
      </w:r>
    </w:p>
    <w:p w14:paraId="4DDE1676" w14:textId="77777777" w:rsidR="00363957" w:rsidRPr="00413D80" w:rsidRDefault="00363957" w:rsidP="00C96296">
      <w:pPr>
        <w:pStyle w:val="ListParagraph"/>
        <w:numPr>
          <w:ilvl w:val="1"/>
          <w:numId w:val="5"/>
        </w:numPr>
        <w:spacing w:line="276" w:lineRule="auto"/>
        <w:rPr>
          <w:rFonts w:ascii="TT Rounds Condensed" w:hAnsi="TT Rounds Condensed" w:cstheme="minorHAnsi"/>
        </w:rPr>
      </w:pPr>
      <w:r w:rsidRPr="00413D80">
        <w:rPr>
          <w:rFonts w:ascii="TT Rounds Condensed" w:hAnsi="TT Rounds Condensed" w:cstheme="minorHAnsi"/>
        </w:rPr>
        <w:t xml:space="preserve">Plans to bring new partners and/or staff up to speed </w:t>
      </w:r>
    </w:p>
    <w:p w14:paraId="5C1090F8" w14:textId="77777777" w:rsidR="00363957" w:rsidRPr="00413D80" w:rsidRDefault="00363957" w:rsidP="00C96296">
      <w:pPr>
        <w:pStyle w:val="ListParagraph"/>
        <w:numPr>
          <w:ilvl w:val="1"/>
          <w:numId w:val="5"/>
        </w:numPr>
        <w:spacing w:line="276" w:lineRule="auto"/>
        <w:rPr>
          <w:rFonts w:ascii="TT Rounds Condensed" w:hAnsi="TT Rounds Condensed" w:cstheme="minorHAnsi"/>
        </w:rPr>
      </w:pPr>
      <w:r w:rsidRPr="00413D80">
        <w:rPr>
          <w:rFonts w:ascii="TT Rounds Condensed" w:hAnsi="TT Rounds Condensed" w:cstheme="minorHAnsi"/>
        </w:rPr>
        <w:t xml:space="preserve">Back up plans when internet services are weak. </w:t>
      </w:r>
    </w:p>
    <w:p w14:paraId="02966DB6" w14:textId="77777777" w:rsidR="00363957" w:rsidRPr="00413D80" w:rsidRDefault="00363957" w:rsidP="00C96296">
      <w:pPr>
        <w:pStyle w:val="ListParagraph"/>
        <w:numPr>
          <w:ilvl w:val="0"/>
          <w:numId w:val="3"/>
        </w:numPr>
        <w:spacing w:line="276" w:lineRule="auto"/>
        <w:rPr>
          <w:rFonts w:ascii="TT Rounds Condensed" w:hAnsi="TT Rounds Condensed" w:cstheme="minorHAnsi"/>
          <w:iCs/>
        </w:rPr>
      </w:pPr>
      <w:r w:rsidRPr="00413D80">
        <w:rPr>
          <w:rFonts w:ascii="TT Rounds Condensed" w:hAnsi="TT Rounds Condensed" w:cstheme="minorHAnsi"/>
        </w:rPr>
        <w:t xml:space="preserve">Dedicate appropriate time to engage partners meaningfully, and to foster a strong sense of ownership of study activities and a clear understanding of roles and responsibilities.  </w:t>
      </w:r>
    </w:p>
    <w:p w14:paraId="6C9296A9" w14:textId="77777777" w:rsidR="005335EB" w:rsidRDefault="00363957" w:rsidP="00C96296">
      <w:pPr>
        <w:pStyle w:val="ListParagraph"/>
        <w:numPr>
          <w:ilvl w:val="0"/>
          <w:numId w:val="3"/>
        </w:numPr>
        <w:spacing w:line="276" w:lineRule="auto"/>
        <w:rPr>
          <w:rFonts w:ascii="TT Rounds Condensed" w:hAnsi="TT Rounds Condensed" w:cstheme="minorHAnsi"/>
        </w:rPr>
      </w:pPr>
      <w:r w:rsidRPr="005335EB">
        <w:rPr>
          <w:rFonts w:ascii="TT Rounds Condensed" w:hAnsi="TT Rounds Condensed" w:cstheme="minorHAnsi"/>
        </w:rPr>
        <w:t xml:space="preserve">Dedicate time for piloting and pre-testing study tools and procedures, as well as management and logistical processes. </w:t>
      </w:r>
    </w:p>
    <w:p w14:paraId="52C330EA" w14:textId="5B83DBC2" w:rsidR="00363957" w:rsidRPr="005335EB" w:rsidRDefault="00363957" w:rsidP="00C96296">
      <w:pPr>
        <w:pStyle w:val="ListParagraph"/>
        <w:numPr>
          <w:ilvl w:val="0"/>
          <w:numId w:val="3"/>
        </w:numPr>
        <w:spacing w:line="276" w:lineRule="auto"/>
        <w:rPr>
          <w:rFonts w:ascii="TT Rounds Condensed" w:hAnsi="TT Rounds Condensed" w:cstheme="minorHAnsi"/>
        </w:rPr>
      </w:pPr>
      <w:r w:rsidRPr="005335EB">
        <w:rPr>
          <w:rFonts w:ascii="TT Rounds Condensed" w:hAnsi="TT Rounds Condensed" w:cstheme="minorHAnsi"/>
        </w:rPr>
        <w:t xml:space="preserve">Map stakeholder and communities affected by the study and plan engagement sessions throughout the study cycle. </w:t>
      </w:r>
      <w:r w:rsidR="00467D2C" w:rsidRPr="005335EB">
        <w:rPr>
          <w:rFonts w:ascii="TT Rounds Condensed" w:hAnsi="TT Rounds Condensed" w:cstheme="minorHAnsi"/>
        </w:rPr>
        <w:br/>
      </w:r>
    </w:p>
    <w:p w14:paraId="3D07F815" w14:textId="77777777" w:rsidR="005335EB" w:rsidRPr="005335EB" w:rsidRDefault="005335EB" w:rsidP="00C96296">
      <w:pPr>
        <w:pStyle w:val="Heading2"/>
        <w:rPr>
          <w:b/>
          <w:bCs w:val="0"/>
          <w:sz w:val="20"/>
          <w:szCs w:val="22"/>
        </w:rPr>
      </w:pPr>
    </w:p>
    <w:p w14:paraId="0BA5D5D2" w14:textId="77777777" w:rsidR="00364246" w:rsidRDefault="00364246" w:rsidP="00C96296">
      <w:pPr>
        <w:pStyle w:val="Heading2"/>
        <w:rPr>
          <w:b/>
          <w:bCs w:val="0"/>
          <w:sz w:val="20"/>
          <w:szCs w:val="22"/>
        </w:rPr>
      </w:pPr>
    </w:p>
    <w:p w14:paraId="25387406" w14:textId="557F31C9" w:rsidR="00363957" w:rsidRPr="005335EB" w:rsidRDefault="00363957" w:rsidP="00C96296">
      <w:pPr>
        <w:pStyle w:val="Heading2"/>
        <w:rPr>
          <w:b/>
          <w:bCs w:val="0"/>
          <w:sz w:val="20"/>
          <w:szCs w:val="22"/>
        </w:rPr>
      </w:pPr>
      <w:r w:rsidRPr="005335EB">
        <w:rPr>
          <w:b/>
          <w:bCs w:val="0"/>
          <w:sz w:val="20"/>
          <w:szCs w:val="22"/>
        </w:rPr>
        <w:t>Study implementation stages</w:t>
      </w:r>
    </w:p>
    <w:p w14:paraId="01C7DD0E" w14:textId="77777777" w:rsidR="00363957" w:rsidRPr="00413D80" w:rsidRDefault="00363957" w:rsidP="00C96296">
      <w:pPr>
        <w:pStyle w:val="ListParagraph"/>
        <w:numPr>
          <w:ilvl w:val="0"/>
          <w:numId w:val="3"/>
        </w:numPr>
        <w:spacing w:line="276" w:lineRule="auto"/>
        <w:rPr>
          <w:rFonts w:ascii="TT Rounds Condensed" w:hAnsi="TT Rounds Condensed" w:cstheme="minorHAnsi"/>
        </w:rPr>
      </w:pPr>
      <w:r w:rsidRPr="00413D80">
        <w:rPr>
          <w:rFonts w:ascii="TT Rounds Condensed" w:hAnsi="TT Rounds Condensed" w:cstheme="minorHAnsi"/>
        </w:rPr>
        <w:t>Update risk and communication plans appropriately</w:t>
      </w:r>
    </w:p>
    <w:p w14:paraId="6B781183" w14:textId="77777777" w:rsidR="00363957" w:rsidRPr="00413D80" w:rsidRDefault="00363957" w:rsidP="00C96296">
      <w:pPr>
        <w:pStyle w:val="ListParagraph"/>
        <w:numPr>
          <w:ilvl w:val="0"/>
          <w:numId w:val="3"/>
        </w:numPr>
        <w:spacing w:line="276" w:lineRule="auto"/>
        <w:rPr>
          <w:rFonts w:ascii="TT Rounds Condensed" w:hAnsi="TT Rounds Condensed" w:cstheme="minorHAnsi"/>
        </w:rPr>
      </w:pPr>
      <w:r w:rsidRPr="00413D80">
        <w:rPr>
          <w:rFonts w:ascii="TT Rounds Condensed" w:hAnsi="TT Rounds Condensed" w:cstheme="minorHAnsi"/>
        </w:rPr>
        <w:t>Continue to engage stakeholders and update the communities’ involved</w:t>
      </w:r>
    </w:p>
    <w:p w14:paraId="286F22AE" w14:textId="30F4D7BD" w:rsidR="00082EFD" w:rsidRPr="00413D80" w:rsidRDefault="00363957" w:rsidP="00C96296">
      <w:pPr>
        <w:pStyle w:val="ListParagraph"/>
        <w:numPr>
          <w:ilvl w:val="0"/>
          <w:numId w:val="3"/>
        </w:numPr>
        <w:spacing w:line="276" w:lineRule="auto"/>
        <w:rPr>
          <w:rFonts w:ascii="TT Rounds Condensed" w:hAnsi="TT Rounds Condensed" w:cstheme="minorHAnsi"/>
        </w:rPr>
      </w:pPr>
      <w:r w:rsidRPr="00413D80">
        <w:rPr>
          <w:rFonts w:ascii="TT Rounds Condensed" w:hAnsi="TT Rounds Condensed" w:cstheme="minorHAnsi"/>
        </w:rPr>
        <w:t>In challenging times, the study design and/or procedures may need to be simplified to prioriti</w:t>
      </w:r>
      <w:r w:rsidR="00910C41" w:rsidRPr="00413D80">
        <w:rPr>
          <w:rFonts w:ascii="TT Rounds Condensed" w:hAnsi="TT Rounds Condensed" w:cstheme="minorHAnsi"/>
        </w:rPr>
        <w:t>s</w:t>
      </w:r>
      <w:r w:rsidRPr="00413D80">
        <w:rPr>
          <w:rFonts w:ascii="TT Rounds Condensed" w:hAnsi="TT Rounds Condensed" w:cstheme="minorHAnsi"/>
        </w:rPr>
        <w:t xml:space="preserve">e the most essential study activities. Where this is the case, it is essential that teams be transparent about the effect of these changes on the study findings, including the introduction of any additional biases. </w:t>
      </w:r>
    </w:p>
    <w:p w14:paraId="21B399CE" w14:textId="77777777" w:rsidR="00DD27ED" w:rsidRPr="00413D80" w:rsidRDefault="00DD27ED" w:rsidP="00C96296">
      <w:pPr>
        <w:rPr>
          <w:rFonts w:ascii="TT Rounds Condensed" w:hAnsi="TT Rounds Condensed"/>
        </w:rPr>
      </w:pPr>
    </w:p>
    <w:sectPr w:rsidR="00DD27ED" w:rsidRPr="00413D80" w:rsidSect="00364246">
      <w:headerReference w:type="even" r:id="rId10"/>
      <w:headerReference w:type="default" r:id="rId11"/>
      <w:footerReference w:type="even" r:id="rId12"/>
      <w:footerReference w:type="default" r:id="rId13"/>
      <w:headerReference w:type="first" r:id="rId14"/>
      <w:footerReference w:type="first" r:id="rId15"/>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C14B7" w14:textId="77777777" w:rsidR="003C1497" w:rsidRDefault="003C1497" w:rsidP="008E25F0">
      <w:pPr>
        <w:spacing w:after="0" w:line="240" w:lineRule="auto"/>
      </w:pPr>
      <w:r>
        <w:separator/>
      </w:r>
    </w:p>
  </w:endnote>
  <w:endnote w:type="continuationSeparator" w:id="0">
    <w:p w14:paraId="0788FC00" w14:textId="77777777" w:rsidR="003C1497" w:rsidRDefault="003C1497" w:rsidP="008E2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T Rounds Condensed">
    <w:panose1 w:val="02000506030000020003"/>
    <w:charset w:val="00"/>
    <w:family w:val="modern"/>
    <w:notTrueType/>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F4E62" w14:textId="77777777" w:rsidR="008E25F0" w:rsidRDefault="008E25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B86C1" w14:textId="77777777" w:rsidR="008E25F0" w:rsidRDefault="008E25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1FFD4" w14:textId="77777777" w:rsidR="008E25F0" w:rsidRDefault="008E2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BA12F" w14:textId="77777777" w:rsidR="003C1497" w:rsidRDefault="003C1497" w:rsidP="008E25F0">
      <w:pPr>
        <w:spacing w:after="0" w:line="240" w:lineRule="auto"/>
      </w:pPr>
      <w:r>
        <w:separator/>
      </w:r>
    </w:p>
  </w:footnote>
  <w:footnote w:type="continuationSeparator" w:id="0">
    <w:p w14:paraId="20B11E97" w14:textId="77777777" w:rsidR="003C1497" w:rsidRDefault="003C1497" w:rsidP="008E25F0">
      <w:pPr>
        <w:spacing w:after="0" w:line="240" w:lineRule="auto"/>
      </w:pPr>
      <w:r>
        <w:continuationSeparator/>
      </w:r>
    </w:p>
  </w:footnote>
  <w:footnote w:id="1">
    <w:p w14:paraId="6ED7B187" w14:textId="77777777" w:rsidR="00363957" w:rsidRPr="004C67BA" w:rsidRDefault="00363957" w:rsidP="00363957">
      <w:pPr>
        <w:pStyle w:val="FootnoteText"/>
        <w:rPr>
          <w:sz w:val="16"/>
          <w:szCs w:val="16"/>
        </w:rPr>
      </w:pPr>
      <w:r w:rsidRPr="004C67BA">
        <w:rPr>
          <w:sz w:val="16"/>
          <w:szCs w:val="16"/>
        </w:rPr>
        <w:footnoteRef/>
      </w:r>
      <w:r w:rsidRPr="004C67BA">
        <w:rPr>
          <w:sz w:val="16"/>
          <w:szCs w:val="16"/>
        </w:rPr>
        <w:t xml:space="preserve"> </w:t>
      </w:r>
      <w:sdt>
        <w:sdtPr>
          <w:rPr>
            <w:sz w:val="16"/>
            <w:szCs w:val="16"/>
          </w:rPr>
          <w:tag w:val="goog_rdk_2100"/>
          <w:id w:val="1875117158"/>
        </w:sdtPr>
        <w:sdtEndPr/>
        <w:sdtContent>
          <w:r w:rsidRPr="004C67BA">
            <w:rPr>
              <w:sz w:val="16"/>
              <w:szCs w:val="16"/>
            </w:rPr>
            <w:t>Dahab, M. (2017), Operational Challenges of implementing health research in humanitarian settings. Cardiff, UK: Elrha</w:t>
          </w:r>
        </w:sdtContent>
      </w:sdt>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B112F" w14:textId="77777777" w:rsidR="008E25F0" w:rsidRDefault="008E25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0C708" w14:textId="77777777" w:rsidR="008E25F0" w:rsidRDefault="008E25F0">
    <w:pPr>
      <w:pStyle w:val="Header"/>
    </w:pPr>
    <w:r>
      <w:rPr>
        <w:noProof/>
        <w:lang w:eastAsia="en-GB"/>
      </w:rPr>
      <w:drawing>
        <wp:anchor distT="0" distB="0" distL="114300" distR="114300" simplePos="0" relativeHeight="251657216" behindDoc="1" locked="0" layoutInCell="1" allowOverlap="1" wp14:anchorId="172D0011" wp14:editId="34684CEA">
          <wp:simplePos x="0" y="0"/>
          <wp:positionH relativeFrom="column">
            <wp:posOffset>-990600</wp:posOffset>
          </wp:positionH>
          <wp:positionV relativeFrom="paragraph">
            <wp:posOffset>-503555</wp:posOffset>
          </wp:positionV>
          <wp:extent cx="7667626" cy="10845898"/>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2hc template_for allv1-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7626" cy="1084589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52A68" w14:textId="77777777" w:rsidR="008E25F0" w:rsidRDefault="008E2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05B8"/>
    <w:multiLevelType w:val="hybridMultilevel"/>
    <w:tmpl w:val="21E49978"/>
    <w:lvl w:ilvl="0" w:tplc="624EAB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17361"/>
    <w:multiLevelType w:val="hybridMultilevel"/>
    <w:tmpl w:val="1D20A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642985"/>
    <w:multiLevelType w:val="hybridMultilevel"/>
    <w:tmpl w:val="1CD0D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838BA"/>
    <w:multiLevelType w:val="hybridMultilevel"/>
    <w:tmpl w:val="E222B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4F404A"/>
    <w:multiLevelType w:val="hybridMultilevel"/>
    <w:tmpl w:val="438E2C8C"/>
    <w:lvl w:ilvl="0" w:tplc="04090001">
      <w:start w:val="1"/>
      <w:numFmt w:val="bullet"/>
      <w:lvlText w:val=""/>
      <w:lvlJc w:val="left"/>
      <w:pPr>
        <w:ind w:left="720" w:hanging="360"/>
      </w:pPr>
      <w:rPr>
        <w:rFonts w:ascii="Symbol" w:hAnsi="Symbol" w:hint="default"/>
      </w:rPr>
    </w:lvl>
    <w:lvl w:ilvl="1" w:tplc="D3DE62CA">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A671A5"/>
    <w:multiLevelType w:val="hybridMultilevel"/>
    <w:tmpl w:val="0FF451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5B51C6"/>
    <w:multiLevelType w:val="hybridMultilevel"/>
    <w:tmpl w:val="AE36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785CF1"/>
    <w:multiLevelType w:val="hybridMultilevel"/>
    <w:tmpl w:val="A1804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2"/>
  </w:num>
  <w:num w:numId="5">
    <w:abstractNumId w:val="4"/>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7ED"/>
    <w:rsid w:val="000170BC"/>
    <w:rsid w:val="00082EFD"/>
    <w:rsid w:val="001415E9"/>
    <w:rsid w:val="00170B25"/>
    <w:rsid w:val="001B1162"/>
    <w:rsid w:val="002049E2"/>
    <w:rsid w:val="00246652"/>
    <w:rsid w:val="00271523"/>
    <w:rsid w:val="003450A0"/>
    <w:rsid w:val="00363957"/>
    <w:rsid w:val="00364246"/>
    <w:rsid w:val="003B39EF"/>
    <w:rsid w:val="003C1497"/>
    <w:rsid w:val="00413D80"/>
    <w:rsid w:val="004343A3"/>
    <w:rsid w:val="00456498"/>
    <w:rsid w:val="00467D2C"/>
    <w:rsid w:val="004D3C0E"/>
    <w:rsid w:val="004F0F0E"/>
    <w:rsid w:val="004F46C5"/>
    <w:rsid w:val="005335EB"/>
    <w:rsid w:val="00563A9C"/>
    <w:rsid w:val="00572FF3"/>
    <w:rsid w:val="00585A41"/>
    <w:rsid w:val="0061284A"/>
    <w:rsid w:val="00663F7C"/>
    <w:rsid w:val="00694321"/>
    <w:rsid w:val="00724FE1"/>
    <w:rsid w:val="007D5143"/>
    <w:rsid w:val="007F5A9D"/>
    <w:rsid w:val="00855380"/>
    <w:rsid w:val="008E25F0"/>
    <w:rsid w:val="0090140D"/>
    <w:rsid w:val="00910C41"/>
    <w:rsid w:val="00921ED6"/>
    <w:rsid w:val="00925298"/>
    <w:rsid w:val="00931260"/>
    <w:rsid w:val="00984313"/>
    <w:rsid w:val="00A5558E"/>
    <w:rsid w:val="00A77D65"/>
    <w:rsid w:val="00A81262"/>
    <w:rsid w:val="00B91BF9"/>
    <w:rsid w:val="00BC5F90"/>
    <w:rsid w:val="00BE23D8"/>
    <w:rsid w:val="00C3751F"/>
    <w:rsid w:val="00C516BC"/>
    <w:rsid w:val="00C90CB6"/>
    <w:rsid w:val="00C96296"/>
    <w:rsid w:val="00CF4EA3"/>
    <w:rsid w:val="00D33D4B"/>
    <w:rsid w:val="00D62551"/>
    <w:rsid w:val="00D6323F"/>
    <w:rsid w:val="00DD27ED"/>
    <w:rsid w:val="00E245CF"/>
    <w:rsid w:val="00E33C47"/>
    <w:rsid w:val="00ED7E63"/>
    <w:rsid w:val="00F3396C"/>
    <w:rsid w:val="00F41D0C"/>
    <w:rsid w:val="00F523D3"/>
    <w:rsid w:val="00F52BC1"/>
    <w:rsid w:val="00F80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B8AAD"/>
  <w15:docId w15:val="{C1A18D94-18A6-4E2C-B15A-98066746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52BC1"/>
    <w:rPr>
      <w:rFonts w:ascii="Arial" w:hAnsi="Arial"/>
    </w:rPr>
  </w:style>
  <w:style w:type="paragraph" w:styleId="Heading1">
    <w:name w:val="heading 1"/>
    <w:basedOn w:val="Normal"/>
    <w:next w:val="Normal"/>
    <w:link w:val="Heading1Char"/>
    <w:uiPriority w:val="9"/>
    <w:qFormat/>
    <w:rsid w:val="00F52BC1"/>
    <w:pPr>
      <w:keepNext/>
      <w:keepLines/>
      <w:spacing w:before="480" w:after="240"/>
      <w:jc w:val="center"/>
      <w:outlineLvl w:val="0"/>
    </w:pPr>
    <w:rPr>
      <w:rFonts w:ascii="TT Rounds Condensed" w:eastAsiaTheme="majorEastAsia" w:hAnsi="TT Rounds Condensed" w:cstheme="majorBidi"/>
      <w:b/>
      <w:bCs/>
      <w:caps/>
      <w:color w:val="123F6D"/>
      <w:sz w:val="28"/>
      <w:szCs w:val="28"/>
    </w:rPr>
  </w:style>
  <w:style w:type="paragraph" w:styleId="Heading2">
    <w:name w:val="heading 2"/>
    <w:basedOn w:val="Normal"/>
    <w:next w:val="Normal"/>
    <w:link w:val="Heading2Char"/>
    <w:uiPriority w:val="9"/>
    <w:unhideWhenUsed/>
    <w:qFormat/>
    <w:rsid w:val="00F52BC1"/>
    <w:pPr>
      <w:keepNext/>
      <w:keepLines/>
      <w:spacing w:before="200" w:after="120"/>
      <w:outlineLvl w:val="1"/>
    </w:pPr>
    <w:rPr>
      <w:rFonts w:ascii="TT Rounds Condensed" w:eastAsiaTheme="majorEastAsia" w:hAnsi="TT Rounds Condensed" w:cstheme="majorBidi"/>
      <w:bCs/>
      <w:caps/>
      <w:color w:val="123F6D"/>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27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7ED"/>
    <w:rPr>
      <w:rFonts w:ascii="Tahoma" w:hAnsi="Tahoma" w:cs="Tahoma"/>
      <w:sz w:val="16"/>
      <w:szCs w:val="16"/>
    </w:rPr>
  </w:style>
  <w:style w:type="paragraph" w:styleId="Header">
    <w:name w:val="header"/>
    <w:basedOn w:val="Normal"/>
    <w:link w:val="HeaderChar"/>
    <w:uiPriority w:val="99"/>
    <w:unhideWhenUsed/>
    <w:rsid w:val="008E25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25F0"/>
  </w:style>
  <w:style w:type="paragraph" w:styleId="Footer">
    <w:name w:val="footer"/>
    <w:basedOn w:val="Normal"/>
    <w:link w:val="FooterChar"/>
    <w:uiPriority w:val="99"/>
    <w:unhideWhenUsed/>
    <w:rsid w:val="008E25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5F0"/>
  </w:style>
  <w:style w:type="character" w:customStyle="1" w:styleId="Heading1Char">
    <w:name w:val="Heading 1 Char"/>
    <w:basedOn w:val="DefaultParagraphFont"/>
    <w:link w:val="Heading1"/>
    <w:uiPriority w:val="9"/>
    <w:rsid w:val="00F52BC1"/>
    <w:rPr>
      <w:rFonts w:ascii="TT Rounds Condensed" w:eastAsiaTheme="majorEastAsia" w:hAnsi="TT Rounds Condensed" w:cstheme="majorBidi"/>
      <w:b/>
      <w:bCs/>
      <w:caps/>
      <w:color w:val="123F6D"/>
      <w:sz w:val="28"/>
      <w:szCs w:val="28"/>
    </w:rPr>
  </w:style>
  <w:style w:type="character" w:customStyle="1" w:styleId="Heading2Char">
    <w:name w:val="Heading 2 Char"/>
    <w:basedOn w:val="DefaultParagraphFont"/>
    <w:link w:val="Heading2"/>
    <w:uiPriority w:val="9"/>
    <w:rsid w:val="00F52BC1"/>
    <w:rPr>
      <w:rFonts w:ascii="TT Rounds Condensed" w:eastAsiaTheme="majorEastAsia" w:hAnsi="TT Rounds Condensed" w:cstheme="majorBidi"/>
      <w:bCs/>
      <w:caps/>
      <w:color w:val="123F6D"/>
      <w:sz w:val="24"/>
      <w:szCs w:val="26"/>
    </w:rPr>
  </w:style>
  <w:style w:type="paragraph" w:styleId="NoSpacing">
    <w:name w:val="No Spacing"/>
    <w:uiPriority w:val="1"/>
    <w:qFormat/>
    <w:rsid w:val="00F52BC1"/>
    <w:pPr>
      <w:spacing w:after="0" w:line="240" w:lineRule="auto"/>
    </w:pPr>
    <w:rPr>
      <w:rFonts w:ascii="Arial" w:hAnsi="Arial"/>
    </w:rPr>
  </w:style>
  <w:style w:type="character" w:styleId="Hyperlink">
    <w:name w:val="Hyperlink"/>
    <w:basedOn w:val="DefaultParagraphFont"/>
    <w:uiPriority w:val="99"/>
    <w:unhideWhenUsed/>
    <w:rsid w:val="00246652"/>
    <w:rPr>
      <w:color w:val="555555"/>
      <w:u w:val="single"/>
    </w:rPr>
  </w:style>
  <w:style w:type="character" w:styleId="CommentReference">
    <w:name w:val="annotation reference"/>
    <w:basedOn w:val="DefaultParagraphFont"/>
    <w:uiPriority w:val="99"/>
    <w:semiHidden/>
    <w:unhideWhenUsed/>
    <w:rsid w:val="00246652"/>
    <w:rPr>
      <w:sz w:val="16"/>
      <w:szCs w:val="16"/>
    </w:rPr>
  </w:style>
  <w:style w:type="paragraph" w:styleId="CommentText">
    <w:name w:val="annotation text"/>
    <w:basedOn w:val="Normal"/>
    <w:link w:val="CommentTextChar"/>
    <w:uiPriority w:val="99"/>
    <w:semiHidden/>
    <w:unhideWhenUsed/>
    <w:rsid w:val="00246652"/>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246652"/>
    <w:rPr>
      <w:sz w:val="20"/>
      <w:szCs w:val="20"/>
    </w:rPr>
  </w:style>
  <w:style w:type="paragraph" w:styleId="FootnoteText">
    <w:name w:val="footnote text"/>
    <w:basedOn w:val="Normal"/>
    <w:link w:val="FootnoteTextChar"/>
    <w:uiPriority w:val="99"/>
    <w:unhideWhenUsed/>
    <w:rsid w:val="00246652"/>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246652"/>
    <w:rPr>
      <w:sz w:val="20"/>
      <w:szCs w:val="20"/>
    </w:rPr>
  </w:style>
  <w:style w:type="character" w:styleId="FootnoteReference">
    <w:name w:val="footnote reference"/>
    <w:basedOn w:val="DefaultParagraphFont"/>
    <w:uiPriority w:val="99"/>
    <w:unhideWhenUsed/>
    <w:rsid w:val="00246652"/>
    <w:rPr>
      <w:vertAlign w:val="superscript"/>
    </w:rPr>
  </w:style>
  <w:style w:type="paragraph" w:styleId="Title">
    <w:name w:val="Title"/>
    <w:basedOn w:val="Normal"/>
    <w:next w:val="Normal"/>
    <w:link w:val="TitleChar"/>
    <w:uiPriority w:val="10"/>
    <w:qFormat/>
    <w:rsid w:val="0092529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2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5298"/>
    <w:pPr>
      <w:numPr>
        <w:ilvl w:val="1"/>
      </w:numPr>
      <w:spacing w:after="160" w:line="240" w:lineRule="auto"/>
    </w:pPr>
    <w:rPr>
      <w:rFonts w:ascii="Times New Roman" w:eastAsiaTheme="minorEastAsia" w:hAnsi="Times New Roman" w:cs="Times New Roman"/>
      <w:color w:val="5A5A5A" w:themeColor="text1" w:themeTint="A5"/>
      <w:spacing w:val="15"/>
    </w:rPr>
  </w:style>
  <w:style w:type="character" w:customStyle="1" w:styleId="SubtitleChar">
    <w:name w:val="Subtitle Char"/>
    <w:basedOn w:val="DefaultParagraphFont"/>
    <w:link w:val="Subtitle"/>
    <w:uiPriority w:val="11"/>
    <w:rsid w:val="00925298"/>
    <w:rPr>
      <w:rFonts w:ascii="Times New Roman" w:eastAsiaTheme="minorEastAsia" w:hAnsi="Times New Roman" w:cs="Times New Roman"/>
      <w:color w:val="5A5A5A" w:themeColor="text1" w:themeTint="A5"/>
      <w:spacing w:val="15"/>
    </w:rPr>
  </w:style>
  <w:style w:type="paragraph" w:styleId="ListParagraph">
    <w:name w:val="List Paragraph"/>
    <w:basedOn w:val="Normal"/>
    <w:uiPriority w:val="34"/>
    <w:qFormat/>
    <w:rsid w:val="00082EFD"/>
    <w:pPr>
      <w:spacing w:after="0" w:line="240" w:lineRule="auto"/>
      <w:ind w:left="720"/>
      <w:contextualSpacing/>
    </w:pPr>
    <w:rPr>
      <w:rFonts w:asciiTheme="minorHAnsi" w:hAnsiTheme="minorHAnsi"/>
    </w:rPr>
  </w:style>
  <w:style w:type="paragraph" w:styleId="CommentSubject">
    <w:name w:val="annotation subject"/>
    <w:basedOn w:val="CommentText"/>
    <w:next w:val="CommentText"/>
    <w:link w:val="CommentSubjectChar"/>
    <w:uiPriority w:val="99"/>
    <w:semiHidden/>
    <w:unhideWhenUsed/>
    <w:rsid w:val="00910C41"/>
    <w:rPr>
      <w:rFonts w:ascii="Arial" w:hAnsi="Arial"/>
      <w:b/>
      <w:bCs/>
    </w:rPr>
  </w:style>
  <w:style w:type="character" w:customStyle="1" w:styleId="CommentSubjectChar">
    <w:name w:val="Comment Subject Char"/>
    <w:basedOn w:val="CommentTextChar"/>
    <w:link w:val="CommentSubject"/>
    <w:uiPriority w:val="99"/>
    <w:semiHidden/>
    <w:rsid w:val="00910C41"/>
    <w:rPr>
      <w:rFonts w:ascii="Arial" w:hAnsi="Arial"/>
      <w:b/>
      <w:bCs/>
      <w:sz w:val="20"/>
      <w:szCs w:val="20"/>
    </w:rPr>
  </w:style>
  <w:style w:type="character" w:styleId="Emphasis">
    <w:name w:val="Emphasis"/>
    <w:basedOn w:val="DefaultParagraphFont"/>
    <w:uiPriority w:val="20"/>
    <w:qFormat/>
    <w:rsid w:val="008553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1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710D4B6529504794FE8E9FFD838603" ma:contentTypeVersion="6" ma:contentTypeDescription="Create a new document." ma:contentTypeScope="" ma:versionID="3f909a37a861e5f713c5c8631d6ca245">
  <xsd:schema xmlns:xsd="http://www.w3.org/2001/XMLSchema" xmlns:xs="http://www.w3.org/2001/XMLSchema" xmlns:p="http://schemas.microsoft.com/office/2006/metadata/properties" xmlns:ns3="be27a3a2-a336-4226-99ea-bb8a7573be01" targetNamespace="http://schemas.microsoft.com/office/2006/metadata/properties" ma:root="true" ma:fieldsID="c63cfaf1318c8d6534cbe43d229209f7" ns3:_="">
    <xsd:import namespace="be27a3a2-a336-4226-99ea-bb8a7573be0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7a3a2-a336-4226-99ea-bb8a7573b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E068D6-4E71-45E5-9504-67A780F78D9D}">
  <ds:schemaRefs>
    <ds:schemaRef ds:uri="http://schemas.microsoft.com/sharepoint/v3/contenttype/forms"/>
  </ds:schemaRefs>
</ds:datastoreItem>
</file>

<file path=customXml/itemProps2.xml><?xml version="1.0" encoding="utf-8"?>
<ds:datastoreItem xmlns:ds="http://schemas.openxmlformats.org/officeDocument/2006/customXml" ds:itemID="{FABBC0AF-04D4-4CA0-838A-0F6C1E6ED39C}">
  <ds:schemaRefs>
    <ds:schemaRef ds:uri="http://schemas.microsoft.com/office/2006/documentManagement/types"/>
    <ds:schemaRef ds:uri="http://purl.org/dc/elements/1.1/"/>
    <ds:schemaRef ds:uri="http://purl.org/dc/terms/"/>
    <ds:schemaRef ds:uri="http://purl.org/dc/dcmitype/"/>
    <ds:schemaRef ds:uri="be27a3a2-a336-4226-99ea-bb8a7573be0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79E1A36-1D8F-4000-8F11-E7CF18C3C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7a3a2-a336-4226-99ea-bb8a7573b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Save the Children</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Rawlins</dc:creator>
  <cp:lastModifiedBy>Anne Harmer</cp:lastModifiedBy>
  <cp:revision>4</cp:revision>
  <dcterms:created xsi:type="dcterms:W3CDTF">2019-09-06T10:31:00Z</dcterms:created>
  <dcterms:modified xsi:type="dcterms:W3CDTF">2019-09-06T10:37:00Z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0x0101007E710D4B6529504794FE8E9FFD838603</vt:lpwstr>
  </property>
</Properties>
</file>